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660D" w14:textId="77777777" w:rsidR="0015758C" w:rsidRDefault="0015758C" w:rsidP="0015758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6994CC9F" w14:textId="77777777" w:rsidR="0015758C" w:rsidRDefault="0015758C" w:rsidP="0015758C">
      <w:pPr>
        <w:pStyle w:val="2"/>
        <w:spacing w:beforeAutospacing="0" w:afterAutospacing="0" w:line="600" w:lineRule="exact"/>
        <w:rPr>
          <w:lang w:eastAsia="zh-CN"/>
        </w:rPr>
      </w:pPr>
    </w:p>
    <w:p w14:paraId="0C7AF00B" w14:textId="77777777" w:rsidR="0015758C" w:rsidRPr="00514DA6" w:rsidRDefault="0015758C" w:rsidP="0015758C">
      <w:pPr>
        <w:pStyle w:val="2"/>
        <w:spacing w:beforeAutospacing="0" w:afterAutospacing="0" w:line="600" w:lineRule="exact"/>
        <w:jc w:val="center"/>
        <w:rPr>
          <w:rFonts w:ascii="等线 Light" w:eastAsia="等线 Light" w:hAnsi="等线 Light" w:cs="等线 Light"/>
          <w:kern w:val="2"/>
          <w:sz w:val="44"/>
          <w:szCs w:val="44"/>
          <w:lang w:eastAsia="zh-CN"/>
        </w:rPr>
      </w:pPr>
      <w:r w:rsidRPr="00514DA6">
        <w:rPr>
          <w:rFonts w:ascii="等线 Light" w:eastAsia="等线 Light" w:hAnsi="等线 Light" w:cs="等线 Light" w:hint="eastAsia"/>
          <w:kern w:val="2"/>
          <w:sz w:val="44"/>
          <w:szCs w:val="44"/>
          <w:lang w:eastAsia="zh-CN"/>
        </w:rPr>
        <w:t>中国（深圳）跨境电商展览会概况</w:t>
      </w:r>
    </w:p>
    <w:p w14:paraId="63578845" w14:textId="77777777" w:rsidR="0015758C" w:rsidRDefault="0015758C" w:rsidP="0015758C">
      <w:pPr>
        <w:pStyle w:val="3"/>
        <w:spacing w:before="0" w:line="600" w:lineRule="exact"/>
        <w:ind w:left="0"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</w:p>
    <w:p w14:paraId="3013BAB3" w14:textId="77777777" w:rsidR="0015758C" w:rsidRDefault="0015758C" w:rsidP="0015758C">
      <w:pPr>
        <w:pStyle w:val="3"/>
        <w:spacing w:before="0" w:line="600" w:lineRule="exact"/>
        <w:ind w:left="0" w:firstLineChars="200" w:firstLine="640"/>
        <w:rPr>
          <w:rFonts w:ascii="黑体" w:eastAsia="黑体" w:hAnsi="黑体" w:cs="黑体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一、中国（深圳）跨境电商展览会背景</w:t>
      </w:r>
    </w:p>
    <w:p w14:paraId="7FEE33A0" w14:textId="77777777" w:rsidR="0015758C" w:rsidRDefault="0015758C" w:rsidP="0015758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近年来，电子商务已成为全球商贸的大趋势。中国作为电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商领域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的佼佼者，交易量占全球总数量的45% 。尤其在新冠肺炎疫情期间，电商发展迎来了新一轮的迅猛增长，2020年的线上零售额同比增长达9.7% 。顺应行业潮流及电商发展大趋势，法兰克福展览（深圳）有限公司、深圳市招商会展管理有限公司、深圳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华侨城湾区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发展有限公司、北京泰莱特国际会展有限公司强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联手，共同主办中国（深圳）跨境电商展览会，助力行业抓住电商发展机遇，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搭建电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商发展、交流、分享的专业平台，解决店家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选品难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、供应商出货难的痛点问题。</w:t>
      </w:r>
    </w:p>
    <w:p w14:paraId="703F6FB7" w14:textId="77777777" w:rsidR="0015758C" w:rsidRDefault="0015758C" w:rsidP="0015758C">
      <w:pPr>
        <w:pStyle w:val="2"/>
        <w:spacing w:beforeAutospacing="0" w:afterAutospacing="0" w:line="600" w:lineRule="exact"/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  <w:lang w:eastAsia="zh-CN"/>
        </w:rPr>
        <w:t xml:space="preserve">    深圳是大湾区的重要据点，同时是电子商务的发达城市，跨境电商发展迅速，从产品供应到配套服务完善。展会在设施先进、配套完备的深圳国际会展中心举办，为数千家参展商和数万名专业买家打造全方位的跨境电</w:t>
      </w:r>
      <w:proofErr w:type="gramStart"/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  <w:lang w:eastAsia="zh-CN"/>
        </w:rPr>
        <w:t>商产业</w:t>
      </w:r>
      <w:proofErr w:type="gramEnd"/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  <w:lang w:eastAsia="zh-CN"/>
        </w:rPr>
        <w:t>平台，助力行业的蓬勃发展。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  <w:t>借助法兰克福展览集团丰富的全球买家资源，</w:t>
      </w:r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  <w:lang w:eastAsia="zh-CN"/>
        </w:rPr>
        <w:t>首届展会展览面积达12万平方米，横跨6大展厅，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  <w:t>现场吸引了超</w:t>
      </w:r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  <w:lang w:eastAsia="zh-CN"/>
        </w:rPr>
        <w:t>过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  <w:t>2,000家参展商和超100,000人次观众到场，</w:t>
      </w:r>
      <w:r>
        <w:rPr>
          <w:rFonts w:ascii="仿宋_GB2312" w:eastAsia="仿宋_GB2312" w:hAnsi="仿宋_GB2312" w:cs="仿宋_GB2312" w:hint="eastAsia"/>
          <w:b w:val="0"/>
          <w:kern w:val="2"/>
          <w:sz w:val="32"/>
          <w:szCs w:val="32"/>
          <w:lang w:eastAsia="zh-CN"/>
        </w:rPr>
        <w:t>包括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  <w:t>跨境电商平台自采、跨境电商平台、跨境电商综合试验区等渠道买家以及品牌商、代理分销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  <w:lastRenderedPageBreak/>
        <w:t>商、传统B2B进出口贸易商、境外采购</w:t>
      </w:r>
      <w:proofErr w:type="gramStart"/>
      <w:r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  <w:t>商国内</w:t>
      </w:r>
      <w:proofErr w:type="gramEnd"/>
      <w:r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  <w:t>代理、线下实体店零售商、跨境电商供应</w:t>
      </w:r>
      <w:proofErr w:type="gramStart"/>
      <w:r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  <w:t>链服务</w:t>
      </w:r>
      <w:proofErr w:type="gramEnd"/>
      <w:r>
        <w:rPr>
          <w:rFonts w:ascii="仿宋_GB2312" w:eastAsia="仿宋_GB2312" w:hAnsi="仿宋_GB2312" w:cs="仿宋_GB2312"/>
          <w:b w:val="0"/>
          <w:kern w:val="2"/>
          <w:sz w:val="32"/>
          <w:szCs w:val="32"/>
          <w:lang w:eastAsia="zh-CN"/>
        </w:rPr>
        <w:t>企业及行业协会等专业人士到场。</w:t>
      </w:r>
    </w:p>
    <w:p w14:paraId="4CADC394" w14:textId="77777777" w:rsidR="0015758C" w:rsidRDefault="0015758C" w:rsidP="0015758C">
      <w:pPr>
        <w:pStyle w:val="3"/>
        <w:spacing w:before="0" w:line="600" w:lineRule="exact"/>
        <w:ind w:left="0" w:firstLineChars="200" w:firstLine="640"/>
        <w:rPr>
          <w:rFonts w:ascii="黑体" w:eastAsia="黑体" w:hAnsi="黑体" w:cs="黑体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二、参展范围</w:t>
      </w:r>
    </w:p>
    <w:p w14:paraId="4134E799" w14:textId="77777777" w:rsidR="0015758C" w:rsidRDefault="0015758C" w:rsidP="0015758C">
      <w:pPr>
        <w:adjustRightInd w:val="0"/>
        <w:snapToGrid w:val="0"/>
        <w:spacing w:line="600" w:lineRule="exact"/>
        <w:ind w:leftChars="200" w:left="420" w:firstLineChars="100" w:firstLine="32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⑴供货商/制造商展区：</w:t>
      </w:r>
    </w:p>
    <w:p w14:paraId="25A5A277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家居日用消费品：餐厨器具、厨房用品、玻璃器皿、陶瓷制品、厨房电器、茶具、一次性餐厨用品、不锈钢制品、塑料餐厨制品、清洁用品等</w:t>
      </w:r>
    </w:p>
    <w:p w14:paraId="5E566673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3C 数码家电类：家用小电器、数码娱乐、手机及配套、音响、电源产品、电子安防等 </w:t>
      </w:r>
    </w:p>
    <w:p w14:paraId="33A544F6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文具及礼品类：节日用品、油画及画框、室内装饰品、DIY产品、礼品文具等</w:t>
      </w:r>
    </w:p>
    <w:p w14:paraId="66535C85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鞋服箱包类：男女装、童装、箱包、家纺、时装鞋、运动鞋、童鞋、眼镜、健身服装、健身装备、健身产品等</w:t>
      </w:r>
    </w:p>
    <w:p w14:paraId="27113B47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母婴玩具类：充气玩具、益智玩具、电子玩具、毛绒玩具、婴儿推车、婴儿礼品、孕妇和婴儿护理产品等</w:t>
      </w:r>
    </w:p>
    <w:p w14:paraId="5B1BC7EA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花园户外类：园艺设备，园艺器具、遮阳器材、锄草设备、烧烤设备、园艺建筑材料、小型机械、管道设备等</w:t>
      </w:r>
    </w:p>
    <w:p w14:paraId="53D153E4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五金汽摩配类：五金工具、汽摩易耗零部件、美容养护产品、车载电子产品、内饰配件、汽车维修工具等</w:t>
      </w:r>
    </w:p>
    <w:p w14:paraId="208C43A5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大健康医疗护理：按摩椅、按摩床、眼部按摩仪、眼罩、血压、血糖检测仪、口罩、电子体温表、家用心电图、健康检测仪、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氢水滤芯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、家用水设备等</w:t>
      </w:r>
    </w:p>
    <w:p w14:paraId="400BE769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宠物用品展区：宠物服饰、食品、玩具、食具、牵引绳、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洗护美容用品、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窝垫宠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舍、训导用品等</w:t>
      </w:r>
    </w:p>
    <w:p w14:paraId="23B97226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建材家饰类：室内家具、户外家具、办公家具、儿童家具、餐桌餐椅、门窗卫浴、灯饰五金、窗帘涂料等</w:t>
      </w:r>
    </w:p>
    <w:p w14:paraId="1C5CEED4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美妆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个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护产品：日用护肤品、美发品、彩妆、香水、化妆用具、个人护理品、防疫物品、口腔护理品、大健康、产后修复、高端抗衰老、身体护理、纹绣产品、美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睫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产品等</w:t>
      </w:r>
    </w:p>
    <w:p w14:paraId="3442F862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综合体育用品：运动健身器材、球类、网球、羽毛球、户外运动器材、运动游乐器材、帐篷、露营用品等</w:t>
      </w:r>
    </w:p>
    <w:p w14:paraId="083F9861" w14:textId="77777777" w:rsidR="0015758C" w:rsidRDefault="0015758C" w:rsidP="0015758C">
      <w:pPr>
        <w:adjustRightInd w:val="0"/>
        <w:snapToGrid w:val="0"/>
        <w:spacing w:line="600" w:lineRule="exact"/>
        <w:ind w:firstLineChars="200" w:firstLine="56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Wingdings" w:hAnsi="Wingdings" w:cs="Wingdings"/>
          <w:color w:val="000000"/>
          <w:kern w:val="0"/>
          <w:sz w:val="28"/>
          <w:szCs w:val="22"/>
          <w:lang w:bidi="ar"/>
        </w:rPr>
        <w:t></w:t>
      </w:r>
      <w:r>
        <w:rPr>
          <w:rFonts w:ascii="仿宋" w:eastAsia="仿宋" w:hAnsi="仿宋" w:cs="仿宋" w:hint="eastAsia"/>
          <w:kern w:val="0"/>
          <w:sz w:val="32"/>
          <w:szCs w:val="32"/>
        </w:rPr>
        <w:t>进口商品：进口美妆、母婴用品、日化产品、食品饮料、保健产品、环保智能产品等</w:t>
      </w:r>
    </w:p>
    <w:p w14:paraId="0AC56D60" w14:textId="77777777" w:rsidR="0015758C" w:rsidRDefault="0015758C" w:rsidP="0015758C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⑵服务商展区：</w:t>
      </w:r>
    </w:p>
    <w:p w14:paraId="5301AED3" w14:textId="77777777" w:rsidR="0015758C" w:rsidRDefault="0015758C" w:rsidP="0015758C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●信息咨询●物流仓储●运营管理系统●支付平台●数字营销●金融投资●人才培养●跨境机构</w:t>
      </w:r>
    </w:p>
    <w:p w14:paraId="029CC247" w14:textId="77777777" w:rsidR="0015758C" w:rsidRDefault="0015758C" w:rsidP="0015758C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⑶平台展区：</w:t>
      </w:r>
    </w:p>
    <w:p w14:paraId="52D5C74D" w14:textId="77777777" w:rsidR="0015758C" w:rsidRDefault="0015758C" w:rsidP="0015758C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●跨境电商平台 ●跨境电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商产业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园区●跨境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电商综试区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等</w:t>
      </w:r>
    </w:p>
    <w:p w14:paraId="6E4BC6F0" w14:textId="77777777" w:rsidR="0015758C" w:rsidRDefault="0015758C" w:rsidP="0015758C">
      <w:pPr>
        <w:pStyle w:val="3"/>
        <w:spacing w:before="0" w:line="600" w:lineRule="exact"/>
        <w:ind w:left="0" w:firstLineChars="200" w:firstLine="640"/>
        <w:rPr>
          <w:rFonts w:ascii="黑体" w:eastAsia="黑体" w:hAnsi="黑体" w:cs="黑体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kern w:val="2"/>
          <w:sz w:val="32"/>
          <w:szCs w:val="32"/>
          <w:lang w:eastAsia="zh-CN"/>
        </w:rPr>
        <w:t>三、展位类型及价格（以组委会公布价格为准）</w:t>
      </w:r>
    </w:p>
    <w:p w14:paraId="6C1BE098" w14:textId="77777777" w:rsidR="0015758C" w:rsidRDefault="0015758C" w:rsidP="0015758C">
      <w:pPr>
        <w:pStyle w:val="3"/>
        <w:spacing w:before="0" w:line="600" w:lineRule="exact"/>
        <w:ind w:left="0"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CN"/>
        </w:rPr>
        <w:t>标摊：12800元/9平方米标准摊位，含基本展具配置（双开口费加收10%)</w:t>
      </w:r>
    </w:p>
    <w:p w14:paraId="0484075B" w14:textId="77777777" w:rsidR="0015758C" w:rsidRDefault="0015758C" w:rsidP="0015758C">
      <w:pPr>
        <w:spacing w:line="600" w:lineRule="exact"/>
        <w:ind w:firstLineChars="200" w:firstLine="640"/>
        <w:rPr>
          <w:rFonts w:ascii="新宋体" w:eastAsia="新宋体" w:hAnsi="新宋体" w:cs="新宋体"/>
          <w:sz w:val="16"/>
          <w:szCs w:val="1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光地：1280元/平方米，36平方米起订，无任何配置（需配置应提前向组委会申请）双开口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展位需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加收10%开口费</w:t>
      </w:r>
    </w:p>
    <w:p w14:paraId="581AE355" w14:textId="77777777" w:rsidR="0015758C" w:rsidRPr="00514DA6" w:rsidRDefault="0015758C" w:rsidP="0015758C">
      <w:pPr>
        <w:jc w:val="center"/>
        <w:rPr>
          <w:rFonts w:ascii="华文宋体" w:eastAsia="华文宋体" w:hAnsi="华文宋体" w:cs="华文宋体" w:hint="eastAsia"/>
          <w:b/>
          <w:bCs/>
          <w:sz w:val="44"/>
          <w:szCs w:val="44"/>
        </w:rPr>
      </w:pPr>
    </w:p>
    <w:p w14:paraId="68D22067" w14:textId="77777777" w:rsidR="00277CE0" w:rsidRPr="0015758C" w:rsidRDefault="00277CE0"/>
    <w:sectPr w:rsidR="00277CE0" w:rsidRPr="0015758C" w:rsidSect="00514DA6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5241" w14:textId="77777777" w:rsidR="000219F1" w:rsidRDefault="000219F1" w:rsidP="0015758C">
      <w:r>
        <w:separator/>
      </w:r>
    </w:p>
  </w:endnote>
  <w:endnote w:type="continuationSeparator" w:id="0">
    <w:p w14:paraId="4BF2E2CA" w14:textId="77777777" w:rsidR="000219F1" w:rsidRDefault="000219F1" w:rsidP="0015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F789" w14:textId="77777777" w:rsidR="000219F1" w:rsidRDefault="000219F1" w:rsidP="0015758C">
      <w:r>
        <w:separator/>
      </w:r>
    </w:p>
  </w:footnote>
  <w:footnote w:type="continuationSeparator" w:id="0">
    <w:p w14:paraId="61C38E3C" w14:textId="77777777" w:rsidR="000219F1" w:rsidRDefault="000219F1" w:rsidP="00157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56"/>
    <w:rsid w:val="000219F1"/>
    <w:rsid w:val="0015758C"/>
    <w:rsid w:val="00277CE0"/>
    <w:rsid w:val="00317956"/>
    <w:rsid w:val="00485729"/>
    <w:rsid w:val="007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E1C3D4-7ED4-4CDE-8AA5-10B6A49D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8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758C"/>
    <w:pPr>
      <w:spacing w:beforeAutospacing="1" w:afterAutospacing="1"/>
      <w:jc w:val="left"/>
      <w:outlineLvl w:val="1"/>
    </w:pPr>
    <w:rPr>
      <w:rFonts w:ascii="宋体" w:eastAsia="Calibri" w:hAnsi="宋体"/>
      <w:b/>
      <w:kern w:val="0"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15758C"/>
    <w:pPr>
      <w:spacing w:before="20"/>
      <w:ind w:left="882"/>
      <w:jc w:val="left"/>
      <w:outlineLvl w:val="2"/>
    </w:pPr>
    <w:rPr>
      <w:rFonts w:ascii="宋体" w:hAnsi="宋体"/>
      <w:kern w:val="0"/>
      <w:sz w:val="31"/>
      <w:szCs w:val="3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5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58C"/>
    <w:rPr>
      <w:sz w:val="18"/>
      <w:szCs w:val="18"/>
    </w:rPr>
  </w:style>
  <w:style w:type="character" w:customStyle="1" w:styleId="20">
    <w:name w:val="标题 2 字符"/>
    <w:basedOn w:val="a0"/>
    <w:link w:val="2"/>
    <w:uiPriority w:val="99"/>
    <w:rsid w:val="0015758C"/>
    <w:rPr>
      <w:rFonts w:ascii="宋体" w:eastAsia="Calibri" w:hAnsi="宋体" w:cs="Times New Roman"/>
      <w:b/>
      <w:kern w:val="0"/>
      <w:sz w:val="36"/>
      <w:szCs w:val="36"/>
      <w:lang w:eastAsia="en-US"/>
    </w:rPr>
  </w:style>
  <w:style w:type="character" w:customStyle="1" w:styleId="30">
    <w:name w:val="标题 3 字符"/>
    <w:basedOn w:val="a0"/>
    <w:link w:val="3"/>
    <w:uiPriority w:val="1"/>
    <w:rsid w:val="0015758C"/>
    <w:rPr>
      <w:rFonts w:ascii="宋体" w:eastAsia="宋体" w:hAnsi="宋体" w:cs="Times New Roma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meva jiyb</dc:creator>
  <cp:keywords/>
  <dc:description/>
  <cp:lastModifiedBy>meva jiyb</cp:lastModifiedBy>
  <cp:revision>2</cp:revision>
  <dcterms:created xsi:type="dcterms:W3CDTF">2022-01-11T07:48:00Z</dcterms:created>
  <dcterms:modified xsi:type="dcterms:W3CDTF">2022-01-11T07:48:00Z</dcterms:modified>
</cp:coreProperties>
</file>